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EA7F" w14:textId="2ABBE9DB" w:rsidR="00AE1F21" w:rsidRDefault="006F6B84">
      <w:pPr>
        <w:jc w:val="right"/>
        <w:rPr>
          <w:rFonts w:ascii="Nimbus Roman" w:hAnsi="Nimbus Roman" w:cs="Nimbus Roman"/>
          <w:sz w:val="24"/>
          <w:szCs w:val="24"/>
          <w:lang w:val="el-GR"/>
        </w:rPr>
      </w:pPr>
      <w:r>
        <w:rPr>
          <w:noProof/>
        </w:rPr>
        <w:drawing>
          <wp:inline distT="0" distB="0" distL="114300" distR="114300" wp14:anchorId="060741B7" wp14:editId="5F70C413">
            <wp:extent cx="2202180" cy="799465"/>
            <wp:effectExtent l="0" t="0" r="7620" b="635"/>
            <wp:docPr id="1" name="Bild 1" descr="Ein Bild, das Text, Schrift, Logo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Schrift, Logo, Emblem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E1F428" w14:textId="15DEC86A" w:rsidR="00AE1F21" w:rsidRDefault="006F6B84" w:rsidP="006F6B84">
      <w:pPr>
        <w:jc w:val="right"/>
        <w:rPr>
          <w:rFonts w:ascii="Nimbus Roman" w:hAnsi="Nimbus Roman" w:cs="Nimbus Roman"/>
          <w:sz w:val="24"/>
          <w:szCs w:val="24"/>
          <w:lang w:val="el-GR"/>
        </w:rPr>
      </w:pPr>
      <w:r>
        <w:rPr>
          <w:noProof/>
        </w:rPr>
        <w:drawing>
          <wp:inline distT="0" distB="0" distL="114300" distR="114300" wp14:anchorId="3AE1FC92" wp14:editId="0AA34EAD">
            <wp:extent cx="1646555" cy="490855"/>
            <wp:effectExtent l="0" t="0" r="10795" b="444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60A38F" w14:textId="1DF994E6" w:rsidR="00AE1F21" w:rsidRPr="006F6B84" w:rsidRDefault="00F95D5A">
      <w:pPr>
        <w:jc w:val="center"/>
        <w:rPr>
          <w:rFonts w:ascii="Nimbus Roman" w:hAnsi="Nimbus Roman" w:cs="Nimbus Roman"/>
          <w:sz w:val="24"/>
          <w:szCs w:val="24"/>
          <w:lang w:val="el-GR"/>
        </w:rPr>
      </w:pPr>
      <w:r w:rsidRPr="00211D90">
        <w:rPr>
          <w:rFonts w:ascii="Nimbus Roman" w:hAnsi="Nimbus Roman" w:cs="Nimbus Roman"/>
          <w:sz w:val="24"/>
          <w:szCs w:val="24"/>
          <w:lang w:val="el-GR"/>
        </w:rPr>
        <w:t>2</w:t>
      </w:r>
      <w:r w:rsidRPr="008A0FF3">
        <w:rPr>
          <w:rFonts w:ascii="Nimbus Roman" w:hAnsi="Nimbus Roman" w:cs="Nimbus Roman"/>
          <w:sz w:val="24"/>
          <w:szCs w:val="24"/>
          <w:vertAlign w:val="superscript"/>
          <w:lang w:val="de-DE"/>
        </w:rPr>
        <w:t>o</w:t>
      </w:r>
      <w:r w:rsidR="008A0FF3" w:rsidRPr="00211D90"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 w:rsidR="006F6B84" w:rsidRPr="006F6B84">
        <w:rPr>
          <w:rFonts w:ascii="Nimbus Roman" w:hAnsi="Nimbus Roman" w:cs="Nimbus Roman"/>
          <w:sz w:val="24"/>
          <w:szCs w:val="24"/>
          <w:lang w:val="el-GR"/>
        </w:rPr>
        <w:t>Συνέδριο</w:t>
      </w:r>
      <w:r w:rsidR="008A0FF3" w:rsidRPr="00211D90"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 w:rsidR="008A0FF3">
        <w:rPr>
          <w:rFonts w:ascii="Nimbus Roman" w:hAnsi="Nimbus Roman" w:cs="Nimbus Roman"/>
          <w:sz w:val="24"/>
          <w:szCs w:val="24"/>
          <w:lang w:val="el-GR"/>
        </w:rPr>
        <w:t>Κριτικής Θεωρίας</w:t>
      </w:r>
      <w:r w:rsidR="006F6B84" w:rsidRPr="006F6B84">
        <w:rPr>
          <w:rFonts w:ascii="Nimbus Roman" w:hAnsi="Nimbus Roman" w:cs="Nimbus Roman"/>
          <w:sz w:val="24"/>
          <w:szCs w:val="24"/>
          <w:lang w:val="el-GR"/>
        </w:rPr>
        <w:t>:</w:t>
      </w:r>
    </w:p>
    <w:p w14:paraId="1B6F76B3" w14:textId="77777777" w:rsidR="00AE1F21" w:rsidRPr="008A0FF3" w:rsidRDefault="006F6B84">
      <w:pPr>
        <w:jc w:val="center"/>
        <w:rPr>
          <w:rFonts w:ascii="Nimbus Roman" w:hAnsi="Nimbus Roman" w:cs="Nimbus Roman"/>
          <w:b/>
          <w:bCs/>
          <w:sz w:val="24"/>
          <w:szCs w:val="24"/>
          <w:lang w:val="el-GR"/>
        </w:rPr>
      </w:pPr>
      <w:r w:rsidRPr="008A0FF3">
        <w:rPr>
          <w:rFonts w:ascii="Nimbus Roman" w:hAnsi="Nimbus Roman" w:cs="Nimbus Roman"/>
          <w:b/>
          <w:bCs/>
          <w:sz w:val="24"/>
          <w:szCs w:val="24"/>
          <w:lang w:val="el-GR"/>
        </w:rPr>
        <w:t>Η αλήθεια της τέχνης</w:t>
      </w:r>
    </w:p>
    <w:p w14:paraId="1E296B06" w14:textId="7E7ED6B8" w:rsidR="00AE1F21" w:rsidRPr="00211D90" w:rsidRDefault="006F6B84">
      <w:pPr>
        <w:jc w:val="center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</w:rPr>
        <w:t>Call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>
        <w:rPr>
          <w:rFonts w:ascii="Nimbus Roman" w:hAnsi="Nimbus Roman" w:cs="Nimbus Roman"/>
          <w:sz w:val="24"/>
          <w:szCs w:val="24"/>
        </w:rPr>
        <w:t>for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proofErr w:type="spellStart"/>
      <w:r w:rsidR="008A0FF3">
        <w:rPr>
          <w:rFonts w:ascii="Nimbus Roman" w:hAnsi="Nimbus Roman" w:cs="Nimbus Roman"/>
          <w:sz w:val="24"/>
          <w:szCs w:val="24"/>
          <w:lang w:val="de-DE"/>
        </w:rPr>
        <w:t>abstracts</w:t>
      </w:r>
      <w:proofErr w:type="spellEnd"/>
    </w:p>
    <w:p w14:paraId="35FB8F49" w14:textId="77777777" w:rsidR="00AE1F21" w:rsidRDefault="00AE1F21">
      <w:pPr>
        <w:jc w:val="center"/>
        <w:rPr>
          <w:rFonts w:ascii="Nimbus Roman" w:hAnsi="Nimbus Roman" w:cs="Nimbus Roman"/>
          <w:sz w:val="24"/>
          <w:szCs w:val="24"/>
          <w:lang w:val="el-GR"/>
        </w:rPr>
      </w:pPr>
    </w:p>
    <w:p w14:paraId="0EB4AFA6" w14:textId="604878CC" w:rsidR="00AE1F21" w:rsidRPr="006F6B84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>Με τις διαδικασίες χειραφέτησης της από θρησκευτικά τελετουργικά και από την ανάγκη επίδειξης της πολιτικής εξουσίας, η τέχνη αναβιβάστηκε ως αντικείμενο φιλοσοφικού στοχασμού.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Απαλλαγμένο από εξωτερικές </w:t>
      </w:r>
      <w:proofErr w:type="spellStart"/>
      <w:r w:rsidRPr="006F6B84">
        <w:rPr>
          <w:rFonts w:ascii="Nimbus Roman" w:hAnsi="Nimbus Roman" w:cs="Nimbus Roman"/>
          <w:sz w:val="24"/>
          <w:szCs w:val="24"/>
          <w:lang w:val="el-GR"/>
        </w:rPr>
        <w:t>σκοποθεσίες</w:t>
      </w:r>
      <w:proofErr w:type="spellEnd"/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, </w:t>
      </w:r>
      <w:r w:rsidR="008A0FF3">
        <w:rPr>
          <w:rFonts w:ascii="Nimbus Roman" w:hAnsi="Nimbus Roman" w:cs="Nimbus Roman"/>
          <w:sz w:val="24"/>
          <w:szCs w:val="24"/>
          <w:lang w:val="el-GR"/>
        </w:rPr>
        <w:t>αποσυνδεδεμένο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από </w:t>
      </w:r>
      <w:proofErr w:type="spellStart"/>
      <w:r w:rsidRPr="006F6B84">
        <w:rPr>
          <w:rFonts w:ascii="Nimbus Roman" w:hAnsi="Nimbus Roman" w:cs="Nimbus Roman"/>
          <w:sz w:val="24"/>
          <w:szCs w:val="24"/>
          <w:lang w:val="el-GR"/>
        </w:rPr>
        <w:t>εργαλειακούς</w:t>
      </w:r>
      <w:proofErr w:type="spellEnd"/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υπολογισμούς, το έργο τέχνης φάνταζε ως πραγμάτωση αιτημάτων αυτονομίας, τα οποία η </w:t>
      </w:r>
      <w:proofErr w:type="spellStart"/>
      <w:r w:rsidRPr="006F6B84">
        <w:rPr>
          <w:rFonts w:ascii="Nimbus Roman" w:hAnsi="Nimbus Roman" w:cs="Nimbus Roman"/>
          <w:sz w:val="24"/>
          <w:szCs w:val="24"/>
          <w:lang w:val="el-GR"/>
        </w:rPr>
        <w:t>νεωτερικότητα</w:t>
      </w:r>
      <w:proofErr w:type="spellEnd"/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τόσο επικαλείτο νομιμοποιητικά όσο και έτεινε να ακυρώσει μέσω των κοινωνικών της μηχανισμών. Έτσι</w:t>
      </w:r>
      <w:r w:rsidRPr="00F95D5A">
        <w:rPr>
          <w:rFonts w:ascii="Nimbus Roman" w:hAnsi="Nimbus Roman" w:cs="Nimbus Roman"/>
          <w:sz w:val="24"/>
          <w:szCs w:val="24"/>
          <w:lang w:val="el-GR"/>
        </w:rPr>
        <w:t>,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ο φιλοσοφικός στοχασμός συνέλαβε την τέχνη όχι ως μέσο προς εξωτερικούς σκοπούς, αλλά ως προνομιακό φορέα εκείνης της αλήθειας που ανήκει στον καταστατικό χάρτη της </w:t>
      </w:r>
      <w:proofErr w:type="spellStart"/>
      <w:r w:rsidRPr="006F6B84">
        <w:rPr>
          <w:rFonts w:ascii="Nimbus Roman" w:hAnsi="Nimbus Roman" w:cs="Nimbus Roman"/>
          <w:sz w:val="24"/>
          <w:szCs w:val="24"/>
          <w:lang w:val="el-GR"/>
        </w:rPr>
        <w:t>νεωτερικότητας</w:t>
      </w:r>
      <w:proofErr w:type="spellEnd"/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: της ελευθερίας. 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Η κλασσική γερμανική φιλοσοφία καταγράφει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αυτήν την αντίληψη με διαφορετικούς τρόπους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: με την καντιανή έννοια της ευαρέσκειας δίχως συμφέρον, με την έννοια του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φαίνεσθαι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και του παιχνιδιού ως διαμεσολάβησης των ανθρώπινων δυνάμεων (</w:t>
      </w:r>
      <w:proofErr w:type="spellStart"/>
      <w:r w:rsidR="008A0FF3">
        <w:rPr>
          <w:rFonts w:ascii="Nimbus Roman" w:hAnsi="Nimbus Roman" w:cs="Nimbus Roman"/>
          <w:sz w:val="24"/>
          <w:szCs w:val="24"/>
          <w:lang w:val="el-GR"/>
        </w:rPr>
        <w:t>Σίλλερ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), με την αντίληψη περί συμβόλου του </w:t>
      </w:r>
      <w:proofErr w:type="spellStart"/>
      <w:r w:rsidR="008A0FF3">
        <w:rPr>
          <w:rFonts w:ascii="Nimbus Roman" w:hAnsi="Nimbus Roman" w:cs="Nimbus Roman"/>
          <w:sz w:val="24"/>
          <w:szCs w:val="24"/>
          <w:lang w:val="el-GR"/>
        </w:rPr>
        <w:t>Γκαίτε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, και, τέλος, με την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εγελιανή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αντίληψη περί τέχνης ως μιας από τις μορφές του απόλυτου πνεύματος.</w:t>
      </w:r>
    </w:p>
    <w:p w14:paraId="44C33BC3" w14:textId="07784F31" w:rsidR="00AE1F21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>Με την εμφάνιση μαζικών διαδικασιών παραγωγής πολιτιστικών προϊόντων και των αντίστοιχων τρόπων πρόσληψης, το αισθητικό φαινόμενο φαίνεται να χειραφετείται από αυτό που άλλοτε φάνταζε το προνομιακό του πεδίο: από το ίδιο το έργο τέχνης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ως μια διακριτή και αυτόνομη από την κοινή εμπειρία σφαίρα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. Οι εικονογραφημένες εφημερίδες, η διαφήμιση και η μόδα, η ανάδυση του κινηματογράφου και, προσφάτως, οι τεχνικές προώθησης και οι μορφές αναπαράστασης του εαυτού στο </w:t>
      </w:r>
      <w:r>
        <w:rPr>
          <w:rFonts w:ascii="Nimbus Roman" w:hAnsi="Nimbus Roman" w:cs="Nimbus Roman"/>
          <w:sz w:val="24"/>
          <w:szCs w:val="24"/>
        </w:rPr>
        <w:t>web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. 2.0 φαίνεται να καθιστούν αμφίβολες τις κλασσικές κατηγορίες μέσω των οποίων, την προηγούμενη ιστορική περίοδο,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η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τέχνη νοήθηκε ως φορέας της αλήθειας.</w:t>
      </w:r>
    </w:p>
    <w:p w14:paraId="10D8741F" w14:textId="605BC181" w:rsidR="00AE1F21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Η θεωρία έχει συλλάβει αυτές τις αλλαγές με ιδιαιτέρως αντικρουόμενους τρόπους: </w:t>
      </w:r>
      <w:r>
        <w:rPr>
          <w:rFonts w:ascii="Nimbus Roman" w:hAnsi="Nimbus Roman" w:cs="Nimbus Roman"/>
          <w:sz w:val="24"/>
          <w:szCs w:val="24"/>
        </w:rPr>
        <w:t>O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proofErr w:type="spellStart"/>
      <w:r w:rsidR="00565D49">
        <w:rPr>
          <w:rFonts w:ascii="Nimbus Roman" w:hAnsi="Nimbus Roman" w:cs="Nimbus Roman"/>
          <w:sz w:val="24"/>
          <w:szCs w:val="24"/>
          <w:lang w:val="el-GR"/>
        </w:rPr>
        <w:t>Μπένγιαμιν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απέδωσε επαναστατικές δυνατότητες στις νέες μορφές μαζικής τέχνης, επισημαίνοντας ταυτόχρονα τον κίνδυνο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αισθητικοποίησης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της πολιτικής. Ο </w:t>
      </w:r>
      <w:proofErr w:type="spellStart"/>
      <w:r w:rsidR="00565D49">
        <w:rPr>
          <w:rFonts w:ascii="Nimbus Roman" w:hAnsi="Nimbus Roman" w:cs="Nimbus Roman"/>
          <w:sz w:val="24"/>
          <w:szCs w:val="24"/>
          <w:lang w:val="el-GR"/>
        </w:rPr>
        <w:t>Αντόρνο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διατύπωσε μια κριτική θεωρία της πολιτιστικής βιομηχανίας, υπερασπιζόμενος την πλέον αμφισβητούμενη αισθητική αυτονομία. Αντίθετα, άλλοι στοχαστές, όπως ο </w:t>
      </w:r>
      <w:proofErr w:type="spellStart"/>
      <w:r w:rsidR="00565D49">
        <w:rPr>
          <w:rFonts w:ascii="Nimbus Roman" w:hAnsi="Nimbus Roman" w:cs="Nimbus Roman"/>
          <w:sz w:val="24"/>
          <w:szCs w:val="24"/>
          <w:lang w:val="el-GR"/>
        </w:rPr>
        <w:t>Έκο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, υπερασπίστηκαν καταρχήν την άρση των περιορισμών στο </w:t>
      </w:r>
      <w:r>
        <w:rPr>
          <w:rFonts w:ascii="Nimbus Roman" w:hAnsi="Nimbus Roman" w:cs="Nimbus Roman"/>
          <w:sz w:val="24"/>
          <w:szCs w:val="24"/>
          <w:lang w:val="el-GR"/>
        </w:rPr>
        <w:lastRenderedPageBreak/>
        <w:t xml:space="preserve">πλαίσιο της πλέον μαζικής κουλτούρας ως βήμα εκδημοκρατισμού, ενώ η απάλειψη των ορίων μεταξύ τέχνης, διαφήμισης και διακόσμησης αποτιμήθηκε θετικά από τον </w:t>
      </w:r>
      <w:r>
        <w:rPr>
          <w:rFonts w:ascii="Nimbus Roman" w:hAnsi="Nimbus Roman" w:cs="Nimbus Roman"/>
          <w:sz w:val="24"/>
          <w:szCs w:val="24"/>
        </w:rPr>
        <w:t>Danto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ως απαλλαγή της τέχνης από την αναγκαιότητα να εκφράζει την αλήθεια. Ταυτόχρονα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μεταποικιακές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θεωρίες έχουν αμφισβητήσει το καθεστώς αλήθειας της τέχνης ως τέτοιο, ανευρίσκοντας στις παραδεδομένες έννοιες της αισθητικής όπως επίσης και στις αντίστοιχες καλλιτεχνικές πρακτικές το στίγμα των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ευρωκεντρικών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δομών κυριαρχίας και του αποκλεισμού της ετερότητας.</w:t>
      </w:r>
    </w:p>
    <w:p w14:paraId="5AEB794A" w14:textId="77777777" w:rsidR="00AE1F21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Παράλληλα με αυτούς του διαφορετικούς λόγους περί τέχνης,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αναπτύσσονται διαφορετικές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καλλιτεχνικ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ές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πρακτικ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ές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και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μορφές 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έργων που επιχειρούν να αντιπαρατεθούν με τις ποικιλόμορφες αμφισβητήσεις του καθεστώτος της τέχνης ως φορέα αλήθειας ή και να τις ενσωματώσουν.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Έτσι η σύγχρονη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καλλιτεχνική παραγωγή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τείνει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να άρει τις διαχωριστικές γραμμές των καλλιτεχνικών ειδών,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να </w:t>
      </w:r>
      <w:r>
        <w:rPr>
          <w:rFonts w:ascii="Nimbus Roman" w:hAnsi="Nimbus Roman" w:cs="Nimbus Roman"/>
          <w:sz w:val="24"/>
          <w:szCs w:val="24"/>
          <w:lang w:val="el-GR"/>
        </w:rPr>
        <w:t>ενσωματώ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σ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ει καταναλωτικά αντικείμενα και κοινούς τόπους της </w:t>
      </w:r>
      <w:r>
        <w:rPr>
          <w:rFonts w:ascii="Nimbus Roman" w:hAnsi="Nimbus Roman" w:cs="Nimbus Roman"/>
          <w:sz w:val="24"/>
          <w:szCs w:val="24"/>
        </w:rPr>
        <w:t>pop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>
        <w:rPr>
          <w:rFonts w:ascii="Nimbus Roman" w:hAnsi="Nimbus Roman" w:cs="Nimbus Roman"/>
          <w:sz w:val="24"/>
          <w:szCs w:val="24"/>
        </w:rPr>
        <w:t>art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να </w:t>
      </w:r>
      <w:r>
        <w:rPr>
          <w:rFonts w:ascii="Nimbus Roman" w:hAnsi="Nimbus Roman" w:cs="Nimbus Roman"/>
          <w:sz w:val="24"/>
          <w:szCs w:val="24"/>
          <w:lang w:val="el-GR"/>
        </w:rPr>
        <w:t>εκθέ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σ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ει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αναστοχαστικά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το ρίζωμά της σε ένα αμφισβητούμενο πλέον πολιτισμικό του πλαίσιο,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ενώ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, τέλος, ρευστοποιεί τον συμπαγή χαρακτήρα του έργου τέχνης σε διαδικασίες καλλιτεχνικής επιτέλεσης. </w:t>
      </w:r>
    </w:p>
    <w:p w14:paraId="1698F649" w14:textId="5099CE45" w:rsidR="00AE1F21" w:rsidRPr="006F6B84" w:rsidRDefault="006F6B84">
      <w:pPr>
        <w:ind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>Υπό το φως τις ανωτέρω μετατόπισης τόσο του θεωρητικού λόγου περί τέχνης όσο και της ίδιας της τέχνης, το</w:t>
      </w:r>
      <w:r>
        <w:rPr>
          <w:rFonts w:ascii="Nimbus Roman" w:hAnsi="Nimbus Roman" w:cs="Nimbus Roman"/>
          <w:sz w:val="24"/>
          <w:szCs w:val="24"/>
          <w:lang w:val="el"/>
        </w:rPr>
        <w:t xml:space="preserve"> συν</w:t>
      </w:r>
      <w:r>
        <w:rPr>
          <w:rFonts w:ascii="Nimbus Roman" w:hAnsi="Nimbus Roman" w:cs="Nimbus Roman"/>
          <w:sz w:val="24"/>
          <w:szCs w:val="24"/>
          <w:lang w:val="el-GR"/>
        </w:rPr>
        <w:t>έ</w:t>
      </w:r>
      <w:proofErr w:type="spellStart"/>
      <w:r>
        <w:rPr>
          <w:rFonts w:ascii="Nimbus Roman" w:hAnsi="Nimbus Roman" w:cs="Nimbus Roman"/>
          <w:sz w:val="24"/>
          <w:szCs w:val="24"/>
          <w:lang w:val="el"/>
        </w:rPr>
        <w:t>δρ</w:t>
      </w:r>
      <w:r>
        <w:rPr>
          <w:rFonts w:ascii="Nimbus Roman" w:hAnsi="Nimbus Roman" w:cs="Nimbus Roman"/>
          <w:sz w:val="24"/>
          <w:szCs w:val="24"/>
          <w:lang w:val="el-GR"/>
        </w:rPr>
        <w:t>ιο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>
        <w:rPr>
          <w:rFonts w:ascii="Nimbus Roman" w:hAnsi="Nimbus Roman" w:cs="Nimbus Roman"/>
          <w:i/>
          <w:iCs/>
          <w:sz w:val="24"/>
          <w:szCs w:val="24"/>
          <w:lang w:val="el-GR"/>
        </w:rPr>
        <w:t>Τέχνη και αλήθεια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)</w:t>
      </w:r>
      <w:r>
        <w:rPr>
          <w:rFonts w:ascii="Nimbus Roman" w:hAnsi="Nimbus Roman" w:cs="Nimbus Roman"/>
          <w:sz w:val="24"/>
          <w:szCs w:val="24"/>
          <w:lang w:val="el-GR"/>
        </w:rPr>
        <w:t>αποσκοπεί στην (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επαν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)εκτίμηση του ερωτήματος περί της σχέσης τέχνης και αλήθειας. Καλούμε όσες και όσους ενδιαφέρονται να αποστείλουν σύντομη περίληψη της εισήγησής τους (200-300) λέξεις στη διεύθυνση </w:t>
      </w:r>
      <w:hyperlink r:id="rId10" w:history="1">
        <w:r>
          <w:rPr>
            <w:rStyle w:val="Hyperlink"/>
            <w:rFonts w:ascii="Nimbus Roman" w:hAnsi="Nimbus Roman" w:cs="Nimbus Roman"/>
            <w:sz w:val="24"/>
            <w:szCs w:val="24"/>
          </w:rPr>
          <w:t>nicostzanakis</w:t>
        </w:r>
        <w:r w:rsidRPr="006F6B84">
          <w:rPr>
            <w:rStyle w:val="Hyperlink"/>
            <w:rFonts w:ascii="Nimbus Roman" w:hAnsi="Nimbus Roman" w:cs="Nimbus Roman"/>
            <w:sz w:val="24"/>
            <w:szCs w:val="24"/>
            <w:lang w:val="el-GR"/>
          </w:rPr>
          <w:t>@</w:t>
        </w:r>
        <w:r>
          <w:rPr>
            <w:rStyle w:val="Hyperlink"/>
            <w:rFonts w:ascii="Nimbus Roman" w:hAnsi="Nimbus Roman" w:cs="Nimbus Roman"/>
            <w:sz w:val="24"/>
            <w:szCs w:val="24"/>
          </w:rPr>
          <w:t>gmail</w:t>
        </w:r>
        <w:r w:rsidRPr="006F6B84">
          <w:rPr>
            <w:rStyle w:val="Hyperlink"/>
            <w:rFonts w:ascii="Nimbus Roman" w:hAnsi="Nimbus Roman" w:cs="Nimbus Roman"/>
            <w:sz w:val="24"/>
            <w:szCs w:val="24"/>
            <w:lang w:val="el-GR"/>
          </w:rPr>
          <w:t>.</w:t>
        </w:r>
        <w:r>
          <w:rPr>
            <w:rStyle w:val="Hyperlink"/>
            <w:rFonts w:ascii="Nimbus Roman" w:hAnsi="Nimbus Roman" w:cs="Nimbus Roman"/>
            <w:sz w:val="24"/>
            <w:szCs w:val="24"/>
          </w:rPr>
          <w:t>com</w:t>
        </w:r>
      </w:hyperlink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 μέχρι τις </w:t>
      </w:r>
      <w:r w:rsidRPr="006F6B84">
        <w:rPr>
          <w:rFonts w:ascii="Nimbus Roman" w:hAnsi="Nimbus Roman" w:cs="Nimbus Roman"/>
          <w:b/>
          <w:bCs/>
          <w:sz w:val="24"/>
          <w:szCs w:val="24"/>
          <w:lang w:val="el-GR"/>
        </w:rPr>
        <w:t>28.02.25</w:t>
      </w:r>
      <w:r>
        <w:rPr>
          <w:rFonts w:ascii="Nimbus Roman" w:hAnsi="Nimbus Roman" w:cs="Nimbus Roman"/>
          <w:sz w:val="24"/>
          <w:szCs w:val="24"/>
          <w:lang w:val="el-GR"/>
        </w:rPr>
        <w:t xml:space="preserve">. Οι προτεινόμενες εισηγήσεις δεν πρέπει να υπερβαίνουν τα 30 λεπτά.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>Το συνέδριο θα διεξαχθεί στην</w:t>
      </w:r>
      <w:r w:rsidRPr="006F6B84">
        <w:rPr>
          <w:rFonts w:ascii="Nimbus Roman" w:hAnsi="Nimbus Roman" w:cs="Nimbus Roman"/>
          <w:b/>
          <w:bCs/>
          <w:sz w:val="24"/>
          <w:szCs w:val="24"/>
          <w:lang w:val="el-GR"/>
        </w:rPr>
        <w:t xml:space="preserve"> Πάτρα </w:t>
      </w:r>
      <w:r w:rsidRPr="006F6B84">
        <w:rPr>
          <w:rFonts w:ascii="Nimbus Roman" w:hAnsi="Nimbus Roman" w:cs="Nimbus Roman"/>
          <w:sz w:val="24"/>
          <w:szCs w:val="24"/>
          <w:lang w:val="el-GR"/>
        </w:rPr>
        <w:t xml:space="preserve">στις </w:t>
      </w:r>
      <w:r w:rsidRPr="006F6B84">
        <w:rPr>
          <w:rFonts w:ascii="Nimbus Roman" w:hAnsi="Nimbus Roman" w:cs="Nimbus Roman"/>
          <w:b/>
          <w:bCs/>
          <w:sz w:val="24"/>
          <w:szCs w:val="24"/>
          <w:lang w:val="el-GR"/>
        </w:rPr>
        <w:t>8 - 10.0</w:t>
      </w:r>
      <w:r w:rsidR="00211D90" w:rsidRPr="00777FEE">
        <w:rPr>
          <w:rFonts w:ascii="Nimbus Roman" w:hAnsi="Nimbus Roman" w:cs="Nimbus Roman"/>
          <w:b/>
          <w:bCs/>
          <w:sz w:val="24"/>
          <w:szCs w:val="24"/>
          <w:lang w:val="el-GR"/>
        </w:rPr>
        <w:t>5</w:t>
      </w:r>
      <w:r w:rsidRPr="006F6B84">
        <w:rPr>
          <w:rFonts w:ascii="Nimbus Roman" w:hAnsi="Nimbus Roman" w:cs="Nimbus Roman"/>
          <w:b/>
          <w:bCs/>
          <w:sz w:val="24"/>
          <w:szCs w:val="24"/>
          <w:lang w:val="el-GR"/>
        </w:rPr>
        <w:t>.2025</w:t>
      </w:r>
    </w:p>
    <w:p w14:paraId="052CFF4D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p w14:paraId="2A4AE9F7" w14:textId="77777777" w:rsidR="00AE1F21" w:rsidRDefault="006F6B84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>Ενδεικτικές θεματικές</w:t>
      </w:r>
    </w:p>
    <w:p w14:paraId="16FE7D07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p w14:paraId="3C0F3648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Τέχνη και αλήθεια στις κλασσικές αισθητικές θεωρίες της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νεωτερικότητας</w:t>
      </w:r>
      <w:proofErr w:type="spellEnd"/>
    </w:p>
    <w:p w14:paraId="2EA23F99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Σύμβολο και αλληγορία στην κλασσική και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μετακλασσική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αισθητική</w:t>
      </w:r>
    </w:p>
    <w:p w14:paraId="216EA973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r>
        <w:rPr>
          <w:rFonts w:ascii="Nimbus Roman" w:hAnsi="Nimbus Roman" w:cs="Nimbus Roman"/>
          <w:sz w:val="24"/>
          <w:szCs w:val="24"/>
        </w:rPr>
        <w:t>Φα</w:t>
      </w:r>
      <w:proofErr w:type="spellStart"/>
      <w:r>
        <w:rPr>
          <w:rFonts w:ascii="Nimbus Roman" w:hAnsi="Nimbus Roman" w:cs="Nimbus Roman"/>
          <w:sz w:val="24"/>
          <w:szCs w:val="24"/>
        </w:rPr>
        <w:t>ίνεσθ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αι και </w:t>
      </w:r>
      <w:r>
        <w:rPr>
          <w:rFonts w:ascii="Nimbus Roman" w:hAnsi="Nimbus Roman" w:cs="Nimbus Roman"/>
          <w:sz w:val="24"/>
          <w:szCs w:val="24"/>
          <w:lang w:val="el-GR"/>
        </w:rPr>
        <w:t>παιχνίδι</w:t>
      </w:r>
    </w:p>
    <w:p w14:paraId="2D676497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proofErr w:type="spellStart"/>
      <w:r>
        <w:rPr>
          <w:rFonts w:ascii="Nimbus Roman" w:hAnsi="Nimbus Roman" w:cs="Nimbus Roman"/>
          <w:sz w:val="24"/>
          <w:szCs w:val="24"/>
        </w:rPr>
        <w:t>Τέχνη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και </w:t>
      </w:r>
      <w:proofErr w:type="spellStart"/>
      <w:r>
        <w:rPr>
          <w:rFonts w:ascii="Nimbus Roman" w:hAnsi="Nimbus Roman" w:cs="Nimbus Roman"/>
          <w:sz w:val="24"/>
          <w:szCs w:val="24"/>
        </w:rPr>
        <w:t>τεχνική</w:t>
      </w:r>
      <w:proofErr w:type="spellEnd"/>
    </w:p>
    <w:p w14:paraId="728AB717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Αισθητικοποίηση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της πολιτικής και του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βιόκοσμου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</w:t>
      </w:r>
    </w:p>
    <w:p w14:paraId="4E9EDD13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proofErr w:type="spellStart"/>
      <w:r>
        <w:rPr>
          <w:rFonts w:ascii="Nimbus Roman" w:hAnsi="Nimbus Roman" w:cs="Nimbus Roman"/>
          <w:sz w:val="24"/>
          <w:szCs w:val="24"/>
        </w:rPr>
        <w:t>Τέχνη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και μα</w:t>
      </w:r>
      <w:proofErr w:type="spellStart"/>
      <w:r>
        <w:rPr>
          <w:rFonts w:ascii="Nimbus Roman" w:hAnsi="Nimbus Roman" w:cs="Nimbus Roman"/>
          <w:sz w:val="24"/>
          <w:szCs w:val="24"/>
        </w:rPr>
        <w:t>ζική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κουλτούρ</w:t>
      </w:r>
      <w:proofErr w:type="spellEnd"/>
      <w:r>
        <w:rPr>
          <w:rFonts w:ascii="Nimbus Roman" w:hAnsi="Nimbus Roman" w:cs="Nimbus Roman"/>
          <w:sz w:val="24"/>
          <w:szCs w:val="24"/>
        </w:rPr>
        <w:t>α</w:t>
      </w:r>
    </w:p>
    <w:p w14:paraId="3F93F526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proofErr w:type="spellStart"/>
      <w:r>
        <w:rPr>
          <w:rFonts w:ascii="Nimbus Roman" w:hAnsi="Nimbus Roman" w:cs="Nimbus Roman"/>
          <w:sz w:val="24"/>
          <w:szCs w:val="24"/>
        </w:rPr>
        <w:t>Μετ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ασχηματισμοί </w:t>
      </w:r>
      <w:proofErr w:type="spellStart"/>
      <w:r>
        <w:rPr>
          <w:rFonts w:ascii="Nimbus Roman" w:hAnsi="Nimbus Roman" w:cs="Nimbus Roman"/>
          <w:sz w:val="24"/>
          <w:szCs w:val="24"/>
        </w:rPr>
        <w:t>της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α</w:t>
      </w:r>
      <w:proofErr w:type="spellStart"/>
      <w:r>
        <w:rPr>
          <w:rFonts w:ascii="Nimbus Roman" w:hAnsi="Nimbus Roman" w:cs="Nimbus Roman"/>
          <w:sz w:val="24"/>
          <w:szCs w:val="24"/>
        </w:rPr>
        <w:t>ισθητικής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α</w:t>
      </w:r>
      <w:proofErr w:type="spellStart"/>
      <w:r>
        <w:rPr>
          <w:rFonts w:ascii="Nimbus Roman" w:hAnsi="Nimbus Roman" w:cs="Nimbus Roman"/>
          <w:sz w:val="24"/>
          <w:szCs w:val="24"/>
        </w:rPr>
        <w:t>υτονομί</w:t>
      </w:r>
      <w:proofErr w:type="spellEnd"/>
      <w:r>
        <w:rPr>
          <w:rFonts w:ascii="Nimbus Roman" w:hAnsi="Nimbus Roman" w:cs="Nimbus Roman"/>
          <w:sz w:val="24"/>
          <w:szCs w:val="24"/>
        </w:rPr>
        <w:t>ας</w:t>
      </w:r>
    </w:p>
    <w:p w14:paraId="2A308514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</w:rPr>
      </w:pPr>
      <w:proofErr w:type="spellStart"/>
      <w:r>
        <w:rPr>
          <w:rFonts w:ascii="Nimbus Roman" w:hAnsi="Nimbus Roman" w:cs="Nimbus Roman"/>
          <w:sz w:val="24"/>
          <w:szCs w:val="24"/>
        </w:rPr>
        <w:t>Εκδοχές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του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τέλους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της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  <w:proofErr w:type="spellStart"/>
      <w:r>
        <w:rPr>
          <w:rFonts w:ascii="Nimbus Roman" w:hAnsi="Nimbus Roman" w:cs="Nimbus Roman"/>
          <w:sz w:val="24"/>
          <w:szCs w:val="24"/>
        </w:rPr>
        <w:t>τέχνης</w:t>
      </w:r>
      <w:proofErr w:type="spellEnd"/>
      <w:r>
        <w:rPr>
          <w:rFonts w:ascii="Nimbus Roman" w:hAnsi="Nimbus Roman" w:cs="Nimbus Roman"/>
          <w:sz w:val="24"/>
          <w:szCs w:val="24"/>
        </w:rPr>
        <w:t xml:space="preserve"> </w:t>
      </w:r>
    </w:p>
    <w:p w14:paraId="226E14AD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r>
        <w:rPr>
          <w:rFonts w:ascii="Nimbus Roman" w:hAnsi="Nimbus Roman" w:cs="Nimbus Roman"/>
          <w:sz w:val="24"/>
          <w:szCs w:val="24"/>
          <w:lang w:val="el-GR"/>
        </w:rPr>
        <w:t xml:space="preserve">Αισθητική και τέχνη στο </w:t>
      </w: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μεταποικιακό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πλαίσιο</w:t>
      </w:r>
    </w:p>
    <w:p w14:paraId="741C0477" w14:textId="77777777" w:rsidR="00AE1F21" w:rsidRDefault="006F6B84">
      <w:pPr>
        <w:numPr>
          <w:ilvl w:val="0"/>
          <w:numId w:val="1"/>
        </w:numPr>
        <w:tabs>
          <w:tab w:val="clear" w:pos="420"/>
        </w:tabs>
        <w:ind w:left="0" w:firstLine="420"/>
        <w:jc w:val="both"/>
        <w:rPr>
          <w:rFonts w:ascii="Nimbus Roman" w:hAnsi="Nimbus Roman" w:cs="Nimbus Roman"/>
          <w:sz w:val="24"/>
          <w:szCs w:val="24"/>
          <w:lang w:val="el-GR"/>
        </w:rPr>
      </w:pPr>
      <w:proofErr w:type="spellStart"/>
      <w:r>
        <w:rPr>
          <w:rFonts w:ascii="Nimbus Roman" w:hAnsi="Nimbus Roman" w:cs="Nimbus Roman"/>
          <w:sz w:val="24"/>
          <w:szCs w:val="24"/>
          <w:lang w:val="el-GR"/>
        </w:rPr>
        <w:t>Μετανεωτερικές</w:t>
      </w:r>
      <w:proofErr w:type="spellEnd"/>
      <w:r>
        <w:rPr>
          <w:rFonts w:ascii="Nimbus Roman" w:hAnsi="Nimbus Roman" w:cs="Nimbus Roman"/>
          <w:sz w:val="24"/>
          <w:szCs w:val="24"/>
          <w:lang w:val="el-GR"/>
        </w:rPr>
        <w:t xml:space="preserve"> καλλιτεχνικές πρακτικές και θεωρία της τέχνης</w:t>
      </w:r>
    </w:p>
    <w:p w14:paraId="71E43E57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p w14:paraId="5C388C36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p w14:paraId="0067D028" w14:textId="77777777" w:rsidR="00AE1F21" w:rsidRDefault="00AE1F21">
      <w:pPr>
        <w:jc w:val="both"/>
        <w:rPr>
          <w:rFonts w:ascii="Nimbus Roman" w:hAnsi="Nimbus Roman" w:cs="Nimbus Roman"/>
          <w:sz w:val="24"/>
          <w:szCs w:val="24"/>
          <w:lang w:val="el-GR"/>
        </w:rPr>
      </w:pPr>
    </w:p>
    <w:sectPr w:rsidR="00AE1F21">
      <w:head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D447" w14:textId="77777777" w:rsidR="006F6B84" w:rsidRDefault="006F6B84">
      <w:pPr>
        <w:spacing w:after="0" w:line="240" w:lineRule="auto"/>
      </w:pPr>
      <w:r>
        <w:separator/>
      </w:r>
    </w:p>
  </w:endnote>
  <w:endnote w:type="continuationSeparator" w:id="0">
    <w:p w14:paraId="2B7E8AE7" w14:textId="77777777" w:rsidR="006F6B84" w:rsidRDefault="006F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Gubbi"/>
    <w:charset w:val="00"/>
    <w:family w:val="auto"/>
    <w:pitch w:val="default"/>
  </w:font>
  <w:font w:name="Nimbus Roman">
    <w:altName w:val="Calibri"/>
    <w:charset w:val="00"/>
    <w:family w:val="auto"/>
    <w:pitch w:val="default"/>
    <w:sig w:usb0="00000287" w:usb1="00000800" w:usb2="00000000" w:usb3="00000000" w:csb0="6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552A" w14:textId="77777777" w:rsidR="006F6B84" w:rsidRDefault="006F6B84">
      <w:pPr>
        <w:spacing w:after="0" w:line="240" w:lineRule="auto"/>
      </w:pPr>
      <w:r>
        <w:separator/>
      </w:r>
    </w:p>
  </w:footnote>
  <w:footnote w:type="continuationSeparator" w:id="0">
    <w:p w14:paraId="171D31C5" w14:textId="77777777" w:rsidR="006F6B84" w:rsidRDefault="006F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18C4" w14:textId="77777777" w:rsidR="00AE1F21" w:rsidRDefault="00AE1F21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7BE41AB"/>
    <w:multiLevelType w:val="singleLevel"/>
    <w:tmpl w:val="F7BE41A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81595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B778735"/>
    <w:rsid w:val="83D94C5A"/>
    <w:rsid w:val="BE7FC769"/>
    <w:rsid w:val="CC9F5661"/>
    <w:rsid w:val="D7DB872B"/>
    <w:rsid w:val="E777E7B1"/>
    <w:rsid w:val="EB778735"/>
    <w:rsid w:val="EBFF3E79"/>
    <w:rsid w:val="EE6F3B55"/>
    <w:rsid w:val="F2DFA1FC"/>
    <w:rsid w:val="F59BD690"/>
    <w:rsid w:val="F72EF294"/>
    <w:rsid w:val="FAAF110F"/>
    <w:rsid w:val="FCDFA7C6"/>
    <w:rsid w:val="FFFFE8DD"/>
    <w:rsid w:val="0005194F"/>
    <w:rsid w:val="00211D90"/>
    <w:rsid w:val="00565D49"/>
    <w:rsid w:val="006F6B84"/>
    <w:rsid w:val="00777FEE"/>
    <w:rsid w:val="008A0FF3"/>
    <w:rsid w:val="00934D1F"/>
    <w:rsid w:val="00987ADD"/>
    <w:rsid w:val="00AE1F21"/>
    <w:rsid w:val="00AF7098"/>
    <w:rsid w:val="00C04513"/>
    <w:rsid w:val="00F95D5A"/>
    <w:rsid w:val="372D955D"/>
    <w:rsid w:val="47EF8102"/>
    <w:rsid w:val="53EF89CD"/>
    <w:rsid w:val="587DC24E"/>
    <w:rsid w:val="657E824F"/>
    <w:rsid w:val="672F90DA"/>
    <w:rsid w:val="735F192F"/>
    <w:rsid w:val="77FBC4F8"/>
    <w:rsid w:val="7DCF358E"/>
    <w:rsid w:val="7F7DEE26"/>
    <w:rsid w:val="7F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A8E7A"/>
  <w15:docId w15:val="{58B42E13-8442-4E60-A298-073988C2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qFormat/>
    <w:pPr>
      <w:spacing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qFormat/>
    <w:rPr>
      <w:b/>
      <w:bCs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Kommentarzeichen">
    <w:name w:val="annotation reference"/>
    <w:basedOn w:val="Absatz-Standardschriftart"/>
    <w:qFormat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western">
    <w:name w:val="western"/>
    <w:qFormat/>
    <w:pPr>
      <w:spacing w:line="259" w:lineRule="auto"/>
    </w:pPr>
    <w:rPr>
      <w:rFonts w:ascii="serif" w:hAnsi="serif"/>
      <w:lang w:val="en-US" w:eastAsia="zh-CN"/>
    </w:rPr>
  </w:style>
  <w:style w:type="paragraph" w:customStyle="1" w:styleId="berarbeitung1">
    <w:name w:val="Überarbeitung1"/>
    <w:hidden/>
    <w:uiPriority w:val="99"/>
    <w:unhideWhenUsed/>
    <w:qFormat/>
    <w:pPr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KommentartextZchn">
    <w:name w:val="Kommentartext Zchn"/>
    <w:basedOn w:val="Absatz-Standardschriftart"/>
    <w:link w:val="Kommentartext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KommentarthemaZchn">
    <w:name w:val="Kommentarthema Zchn"/>
    <w:basedOn w:val="KommentartextZchn"/>
    <w:link w:val="Kommentarthema"/>
    <w:qFormat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costzanaki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nicos</dc:creator>
  <cp:lastModifiedBy>georgios sagriotis</cp:lastModifiedBy>
  <cp:revision>2</cp:revision>
  <dcterms:created xsi:type="dcterms:W3CDTF">2024-12-23T17:08:00Z</dcterms:created>
  <dcterms:modified xsi:type="dcterms:W3CDTF">2024-12-23T17:08:00Z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1031-10.1.0.6757</vt:lpwstr>
  </property>
</Properties>
</file>