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EA7F" w14:textId="2ABBE9DB" w:rsidR="00AE1F21" w:rsidRDefault="006F6B84">
      <w:pPr>
        <w:jc w:val="right"/>
        <w:rPr>
          <w:rFonts w:ascii="Nimbus Roman" w:hAnsi="Nimbus Roman" w:cs="Nimbus Roman"/>
          <w:sz w:val="24"/>
          <w:szCs w:val="24"/>
          <w:lang w:val="el-GR"/>
        </w:rPr>
      </w:pPr>
      <w:r>
        <w:rPr>
          <w:noProof/>
        </w:rPr>
        <w:drawing>
          <wp:inline distT="0" distB="0" distL="114300" distR="114300" wp14:anchorId="060741B7" wp14:editId="5F70C413">
            <wp:extent cx="2202180" cy="799465"/>
            <wp:effectExtent l="0" t="0" r="7620" b="635"/>
            <wp:docPr id="1" name="Bild 1" descr="Ein Bild, das Text, Schrift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hrift, Logo, Emble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E1F428" w14:textId="15DEC86A" w:rsidR="00AE1F21" w:rsidRDefault="006F6B84" w:rsidP="006F6B84">
      <w:pPr>
        <w:jc w:val="right"/>
        <w:rPr>
          <w:rFonts w:ascii="Nimbus Roman" w:hAnsi="Nimbus Roman" w:cs="Nimbus Roman"/>
          <w:sz w:val="24"/>
          <w:szCs w:val="24"/>
          <w:lang w:val="el-GR"/>
        </w:rPr>
      </w:pPr>
      <w:r>
        <w:rPr>
          <w:noProof/>
        </w:rPr>
        <w:drawing>
          <wp:inline distT="0" distB="0" distL="114300" distR="114300" wp14:anchorId="3AE1FC92" wp14:editId="0AA34EAD">
            <wp:extent cx="1646555" cy="490855"/>
            <wp:effectExtent l="0" t="0" r="10795" b="444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60A38F" w14:textId="1DF994E6" w:rsidR="00AE1F21" w:rsidRPr="006F6B84" w:rsidRDefault="00F95D5A">
      <w:pPr>
        <w:jc w:val="center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de-DE"/>
        </w:rPr>
        <w:t>2</w:t>
      </w:r>
      <w:r w:rsidRPr="008A0FF3">
        <w:rPr>
          <w:rFonts w:ascii="Nimbus Roman" w:hAnsi="Nimbus Roman" w:cs="Nimbus Roman"/>
          <w:sz w:val="24"/>
          <w:szCs w:val="24"/>
          <w:vertAlign w:val="superscript"/>
          <w:lang w:val="de-DE"/>
        </w:rPr>
        <w:t>o</w:t>
      </w:r>
      <w:r w:rsidR="008A0FF3">
        <w:rPr>
          <w:rFonts w:ascii="Nimbus Roman" w:hAnsi="Nimbus Roman" w:cs="Nimbus Roman"/>
          <w:sz w:val="24"/>
          <w:szCs w:val="24"/>
          <w:lang w:val="de-DE"/>
        </w:rPr>
        <w:t xml:space="preserve"> </w:t>
      </w:r>
      <w:r w:rsidR="006F6B84" w:rsidRPr="006F6B84">
        <w:rPr>
          <w:rFonts w:ascii="Nimbus Roman" w:hAnsi="Nimbus Roman" w:cs="Nimbus Roman"/>
          <w:sz w:val="24"/>
          <w:szCs w:val="24"/>
          <w:lang w:val="el-GR"/>
        </w:rPr>
        <w:t>Συνέδριο</w:t>
      </w:r>
      <w:r w:rsidR="008A0FF3">
        <w:rPr>
          <w:rFonts w:ascii="Nimbus Roman" w:hAnsi="Nimbus Roman" w:cs="Nimbus Roman"/>
          <w:sz w:val="24"/>
          <w:szCs w:val="24"/>
          <w:lang w:val="de-DE"/>
        </w:rPr>
        <w:t xml:space="preserve"> </w:t>
      </w:r>
      <w:r w:rsidR="008A0FF3">
        <w:rPr>
          <w:rFonts w:ascii="Nimbus Roman" w:hAnsi="Nimbus Roman" w:cs="Nimbus Roman"/>
          <w:sz w:val="24"/>
          <w:szCs w:val="24"/>
          <w:lang w:val="el-GR"/>
        </w:rPr>
        <w:t>Κριτικής Θεωρίας</w:t>
      </w:r>
      <w:r w:rsidR="006F6B84" w:rsidRPr="006F6B84">
        <w:rPr>
          <w:rFonts w:ascii="Nimbus Roman" w:hAnsi="Nimbus Roman" w:cs="Nimbus Roman"/>
          <w:sz w:val="24"/>
          <w:szCs w:val="24"/>
          <w:lang w:val="el-GR"/>
        </w:rPr>
        <w:t>:</w:t>
      </w:r>
    </w:p>
    <w:p w14:paraId="1B6F76B3" w14:textId="77777777" w:rsidR="00AE1F21" w:rsidRPr="008A0FF3" w:rsidRDefault="006F6B84">
      <w:pPr>
        <w:jc w:val="center"/>
        <w:rPr>
          <w:rFonts w:ascii="Nimbus Roman" w:hAnsi="Nimbus Roman" w:cs="Nimbus Roman"/>
          <w:b/>
          <w:bCs/>
          <w:sz w:val="24"/>
          <w:szCs w:val="24"/>
          <w:lang w:val="el-GR"/>
        </w:rPr>
      </w:pPr>
      <w:r w:rsidRPr="008A0FF3">
        <w:rPr>
          <w:rFonts w:ascii="Nimbus Roman" w:hAnsi="Nimbus Roman" w:cs="Nimbus Roman"/>
          <w:b/>
          <w:bCs/>
          <w:sz w:val="24"/>
          <w:szCs w:val="24"/>
          <w:lang w:val="el-GR"/>
        </w:rPr>
        <w:t>Η αλήθεια της τέχνης</w:t>
      </w:r>
    </w:p>
    <w:p w14:paraId="1E296B06" w14:textId="7E7ED6B8" w:rsidR="00AE1F21" w:rsidRPr="008A0FF3" w:rsidRDefault="006F6B84">
      <w:pPr>
        <w:jc w:val="center"/>
        <w:rPr>
          <w:rFonts w:ascii="Nimbus Roman" w:hAnsi="Nimbus Roman" w:cs="Nimbus Roman"/>
          <w:sz w:val="24"/>
          <w:szCs w:val="24"/>
          <w:lang w:val="de-DE"/>
        </w:rPr>
      </w:pPr>
      <w:r>
        <w:rPr>
          <w:rFonts w:ascii="Nimbus Roman" w:hAnsi="Nimbus Roman" w:cs="Nimbus Roman"/>
          <w:sz w:val="24"/>
          <w:szCs w:val="24"/>
        </w:rPr>
        <w:t>Call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for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de-DE"/>
        </w:rPr>
        <w:t>abstracts</w:t>
      </w:r>
      <w:proofErr w:type="spellEnd"/>
    </w:p>
    <w:p w14:paraId="35FB8F49" w14:textId="77777777" w:rsidR="00AE1F21" w:rsidRDefault="00AE1F21">
      <w:pPr>
        <w:jc w:val="center"/>
        <w:rPr>
          <w:rFonts w:ascii="Nimbus Roman" w:hAnsi="Nimbus Roman" w:cs="Nimbus Roman"/>
          <w:sz w:val="24"/>
          <w:szCs w:val="24"/>
          <w:lang w:val="el-GR"/>
        </w:rPr>
      </w:pPr>
    </w:p>
    <w:p w14:paraId="0EB4AFA6" w14:textId="604878CC" w:rsidR="00AE1F21" w:rsidRPr="006F6B84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Με τις διαδικασίες χειραφέτησης της από θρησκευτικά τελετουργικά και από την ανάγκη επίδειξης της πολιτικής εξουσίας, η τέχνη αναβιβάστηκε ως αντικείμενο φιλοσοφικού στοχασμού.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Απαλλαγμένο από εξωτερικές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σκοποθεσίες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, </w:t>
      </w:r>
      <w:r w:rsidR="008A0FF3">
        <w:rPr>
          <w:rFonts w:ascii="Nimbus Roman" w:hAnsi="Nimbus Roman" w:cs="Nimbus Roman"/>
          <w:sz w:val="24"/>
          <w:szCs w:val="24"/>
          <w:lang w:val="el-GR"/>
        </w:rPr>
        <w:t>αποσυνδεδεμένο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από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εργαλειακούς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υπολογισμούς, το έργο τέχνης φάνταζε ως πραγμάτωση αιτημάτων αυτονομίας, τα οποία η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νεωτερικότητα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τόσο επικαλείτο νομιμοποιητικά όσο και έτεινε να ακυρώσει μέσω των κοινωνικών της μηχανισμών. Έτσι</w:t>
      </w:r>
      <w:r w:rsidRPr="00F95D5A">
        <w:rPr>
          <w:rFonts w:ascii="Nimbus Roman" w:hAnsi="Nimbus Roman" w:cs="Nimbus Roman"/>
          <w:sz w:val="24"/>
          <w:szCs w:val="24"/>
          <w:lang w:val="el-GR"/>
        </w:rPr>
        <w:t>,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ο φιλοσοφικός στοχασμός συνέλαβε την τέχνη όχι ως μέσο προς εξωτερικούς σκοπούς, αλλά ως προνομιακό φορέα εκείνης της αλήθειας που ανήκει στον καταστατικό χάρτη της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νεωτερικότητας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: της ελευθερίας. 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Η κλασσική γερμανική φιλοσοφία καταγράφει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αυτήν την αντίληψη με διαφορετικούς τρόπους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: με την καντιανή έννοια της ευαρέσκειας δίχως συμφέρον, με την έννοια του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φαίνεσθαι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και του παιχνιδιού ως διαμεσολάβησης των ανθρώπινων δυνάμεων (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el-GR"/>
        </w:rPr>
        <w:t>Σίλλερ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), με την αντίληψη περί συμβόλου του 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el-GR"/>
        </w:rPr>
        <w:t>Γκαίτε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, και, τέλος, με την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εγελιανή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αντίληψη περί τέχνης ως μιας από τις μορφές του απόλυτου πνεύματος.</w:t>
      </w:r>
    </w:p>
    <w:p w14:paraId="44C33BC3" w14:textId="07784F31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Με την εμφάνιση μαζικών διαδικασιών παραγωγής πολιτιστικών προϊόντων και των αντίστοιχων τρόπων πρόσληψης, το αισθητικό φαινόμενο φαίνεται να χειραφετείται από αυτό που άλλοτε φάνταζε το προνομιακό του πεδίο: από το ίδιο το έργο τέχνης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ως μια διακριτή και αυτόνομη από την κοινή εμπειρία σφαίρα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Οι εικονογραφημένες εφημερίδες, η διαφήμιση και η μόδα, η ανάδυση του κινηματογράφου και, προσφάτως, οι τεχνικές προώθησης και οι μορφές αναπαράστασης του εαυτού στο </w:t>
      </w:r>
      <w:r>
        <w:rPr>
          <w:rFonts w:ascii="Nimbus Roman" w:hAnsi="Nimbus Roman" w:cs="Nimbus Roman"/>
          <w:sz w:val="24"/>
          <w:szCs w:val="24"/>
        </w:rPr>
        <w:t>web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2.0 φαίνεται να καθιστούν αμφίβολες τις κλασσικές κατηγορίες μέσω των οποίων, την προηγούμενη ιστορική περίοδο,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η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τέχνη νοήθηκε ως φορέας της αλήθειας.</w:t>
      </w:r>
    </w:p>
    <w:p w14:paraId="10D8741F" w14:textId="605BC181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Η θεωρία έχει συλλάβει αυτές τις αλλαγές με ιδιαιτέρως αντικρουόμενους τρόπους: </w:t>
      </w:r>
      <w:r>
        <w:rPr>
          <w:rFonts w:ascii="Nimbus Roman" w:hAnsi="Nimbus Roman" w:cs="Nimbus Roman"/>
          <w:sz w:val="24"/>
          <w:szCs w:val="24"/>
        </w:rPr>
        <w:t>O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Μπένγιαμιν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απέδωσε επαναστατικές δυνατότητες στις νέες μορφές μαζικής τέχνης, επισημαίνοντας ταυτόχρονα τον κίνδυνο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αισθητικοποίησης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της πολιτικής. Ο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Αντόρνο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διατύπωσε μια κριτική θεωρία της πολιτιστικής βιομηχανίας, υπερασπιζόμενος την πλέον αμφισβητούμενη αισθητική αυτονομία. Αντίθετα, άλλοι στοχαστές, όπως ο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Έκο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, υπερασπίστηκαν καταρχήν την άρση των περιορισμών στο </w:t>
      </w:r>
      <w:r>
        <w:rPr>
          <w:rFonts w:ascii="Nimbus Roman" w:hAnsi="Nimbus Roman" w:cs="Nimbus Roman"/>
          <w:sz w:val="24"/>
          <w:szCs w:val="24"/>
          <w:lang w:val="el-GR"/>
        </w:rPr>
        <w:lastRenderedPageBreak/>
        <w:t xml:space="preserve">πλαίσιο της πλέον μαζικής κουλτούρας ως βήμα εκδημοκρατισμού, ενώ η απάλειψη των ορίων μεταξύ τέχνης, διαφήμισης και διακόσμησης αποτιμήθηκε θετικά από τον </w:t>
      </w:r>
      <w:r>
        <w:rPr>
          <w:rFonts w:ascii="Nimbus Roman" w:hAnsi="Nimbus Roman" w:cs="Nimbus Roman"/>
          <w:sz w:val="24"/>
          <w:szCs w:val="24"/>
        </w:rPr>
        <w:t>Danto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ως απαλλαγή της τέχνης από την αναγκαιότητα να εκφράζει την αλήθεια. Ταυτόχρονα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μεταποικιακές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θεωρίες έχουν αμφισβητήσει το καθεστώς αλήθειας της τέχνης ως τέτοιο, ανευρίσκοντας στις παραδεδομένες έννοιες της αισθητικής όπως επίσης και στις αντίστοιχες καλλιτεχνικές πρακτικές το στίγμα των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ευρωκεντρικών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δομών κυριαρχίας και του αποκλεισμού της ετερότητας.</w:t>
      </w:r>
    </w:p>
    <w:p w14:paraId="5AEB794A" w14:textId="77777777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Παράλληλα με αυτούς του διαφορετικούς λόγους περί τέχνης,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αναπτύσσονται διαφορετικές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πρακτικ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και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μορφές 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έργων που επιχειρούν να αντιπαρατεθούν με τις ποικιλόμορφες αμφισβητήσεις του καθεστώτος της τέχνης ως φορέα αλήθειας ή και να τις ενσωματώσουν.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Έτσι η σύγχρονη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καλλιτεχνική παραγωγή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τείνει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να άρει τις διαχωριστικές γραμμές των καλλιτεχνικών ειδών,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να </w:t>
      </w:r>
      <w:r>
        <w:rPr>
          <w:rFonts w:ascii="Nimbus Roman" w:hAnsi="Nimbus Roman" w:cs="Nimbus Roman"/>
          <w:sz w:val="24"/>
          <w:szCs w:val="24"/>
          <w:lang w:val="el-GR"/>
        </w:rPr>
        <w:t>ενσωματώ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σ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ει καταναλωτικά αντικείμενα και κοινούς τόπους της </w:t>
      </w:r>
      <w:r>
        <w:rPr>
          <w:rFonts w:ascii="Nimbus Roman" w:hAnsi="Nimbus Roman" w:cs="Nimbus Roman"/>
          <w:sz w:val="24"/>
          <w:szCs w:val="24"/>
        </w:rPr>
        <w:t>pop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art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να </w:t>
      </w:r>
      <w:r>
        <w:rPr>
          <w:rFonts w:ascii="Nimbus Roman" w:hAnsi="Nimbus Roman" w:cs="Nimbus Roman"/>
          <w:sz w:val="24"/>
          <w:szCs w:val="24"/>
          <w:lang w:val="el-GR"/>
        </w:rPr>
        <w:t>εκθέ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σ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ει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αναστοχαστικά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το ρίζωμά της σε ένα αμφισβητούμενο πλέον πολιτισμικό του πλαίσιο,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ενώ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, τέλος, ρευστοποιεί τον συμπαγή χαρακτήρα του έργου τέχνης σε διαδικασίες καλλιτεχνικής επιτέλεσης. </w:t>
      </w:r>
    </w:p>
    <w:p w14:paraId="1698F649" w14:textId="041EE865" w:rsidR="00AE1F21" w:rsidRPr="006F6B84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Υπό το φως τις ανωτέρω μετατόπισης τόσο του θεωρητικού λόγου περί τέχνης όσο και της ίδιας της τέχνης, το</w:t>
      </w:r>
      <w:r>
        <w:rPr>
          <w:rFonts w:ascii="Nimbus Roman" w:hAnsi="Nimbus Roman" w:cs="Nimbus Roman"/>
          <w:sz w:val="24"/>
          <w:szCs w:val="24"/>
          <w:lang w:val="el"/>
        </w:rPr>
        <w:t xml:space="preserve"> συν</w:t>
      </w:r>
      <w:r>
        <w:rPr>
          <w:rFonts w:ascii="Nimbus Roman" w:hAnsi="Nimbus Roman" w:cs="Nimbus Roman"/>
          <w:sz w:val="24"/>
          <w:szCs w:val="24"/>
          <w:lang w:val="el-GR"/>
        </w:rPr>
        <w:t>έ</w:t>
      </w:r>
      <w:proofErr w:type="spellStart"/>
      <w:r>
        <w:rPr>
          <w:rFonts w:ascii="Nimbus Roman" w:hAnsi="Nimbus Roman" w:cs="Nimbus Roman"/>
          <w:sz w:val="24"/>
          <w:szCs w:val="24"/>
          <w:lang w:val="el"/>
        </w:rPr>
        <w:t>δρ</w:t>
      </w:r>
      <w:r>
        <w:rPr>
          <w:rFonts w:ascii="Nimbus Roman" w:hAnsi="Nimbus Roman" w:cs="Nimbus Roman"/>
          <w:sz w:val="24"/>
          <w:szCs w:val="24"/>
          <w:lang w:val="el-GR"/>
        </w:rPr>
        <w:t>ιο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i/>
          <w:iCs/>
          <w:sz w:val="24"/>
          <w:szCs w:val="24"/>
          <w:lang w:val="el-GR"/>
        </w:rPr>
        <w:t>Τέχνη και αλήθεια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)</w:t>
      </w:r>
      <w:r>
        <w:rPr>
          <w:rFonts w:ascii="Nimbus Roman" w:hAnsi="Nimbus Roman" w:cs="Nimbus Roman"/>
          <w:sz w:val="24"/>
          <w:szCs w:val="24"/>
          <w:lang w:val="el-GR"/>
        </w:rPr>
        <w:t>αποσκοπεί στην (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επαν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)εκτίμηση του ερωτήματος περί της σχέσης τέχνης και αλήθειας. Καλούμε όσες και όσους ενδιαφέρονται να αποστείλουν σύντομη περίληψη της εισήγησής τους (200-300) λέξεις στη διεύθυνση </w:t>
      </w:r>
      <w:hyperlink r:id="rId10" w:history="1">
        <w:r>
          <w:rPr>
            <w:rStyle w:val="Hyperlink"/>
            <w:rFonts w:ascii="Nimbus Roman" w:hAnsi="Nimbus Roman" w:cs="Nimbus Roman"/>
            <w:sz w:val="24"/>
            <w:szCs w:val="24"/>
          </w:rPr>
          <w:t>nicostzanakis</w:t>
        </w:r>
        <w:r w:rsidRPr="006F6B84">
          <w:rPr>
            <w:rStyle w:val="Hyperlink"/>
            <w:rFonts w:ascii="Nimbus Roman" w:hAnsi="Nimbus Roman" w:cs="Nimbus Roman"/>
            <w:sz w:val="24"/>
            <w:szCs w:val="24"/>
            <w:lang w:val="el-GR"/>
          </w:rPr>
          <w:t>@</w:t>
        </w:r>
        <w:r>
          <w:rPr>
            <w:rStyle w:val="Hyperlink"/>
            <w:rFonts w:ascii="Nimbus Roman" w:hAnsi="Nimbus Roman" w:cs="Nimbus Roman"/>
            <w:sz w:val="24"/>
            <w:szCs w:val="24"/>
          </w:rPr>
          <w:t>gmail</w:t>
        </w:r>
        <w:r w:rsidRPr="006F6B84">
          <w:rPr>
            <w:rStyle w:val="Hyperlink"/>
            <w:rFonts w:ascii="Nimbus Roman" w:hAnsi="Nimbus Roman" w:cs="Nimbus Roman"/>
            <w:sz w:val="24"/>
            <w:szCs w:val="24"/>
            <w:lang w:val="el-GR"/>
          </w:rPr>
          <w:t>.</w:t>
        </w:r>
        <w:r>
          <w:rPr>
            <w:rStyle w:val="Hyperlink"/>
            <w:rFonts w:ascii="Nimbus Roman" w:hAnsi="Nimbus Roman" w:cs="Nimbus Roman"/>
            <w:sz w:val="24"/>
            <w:szCs w:val="24"/>
          </w:rPr>
          <w:t>com</w:t>
        </w:r>
      </w:hyperlink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μέχρι τις 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>28.02.25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Οι προτεινόμενες εισηγήσεις δεν πρέπει να υπερβαίνουν τα 30 λεπτά.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Το συνέδριο θα διεξαχθεί στην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 xml:space="preserve"> Πάτρα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στις 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>8 - 10.06.2025</w:t>
      </w:r>
    </w:p>
    <w:p w14:paraId="052CFF4D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2A4AE9F7" w14:textId="77777777" w:rsidR="00AE1F21" w:rsidRDefault="006F6B84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Ενδεικτικές θεματικές</w:t>
      </w:r>
    </w:p>
    <w:p w14:paraId="16FE7D07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3C0F3648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Τέχνη και αλήθεια στις κλασσικές αισθητικές θεωρίες της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νεωτερικότητας</w:t>
      </w:r>
      <w:proofErr w:type="spellEnd"/>
    </w:p>
    <w:p w14:paraId="2EA23F99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Σύμβολο και αλληγορία στην κλασσική και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μετακλασσική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αισθητική</w:t>
      </w:r>
    </w:p>
    <w:p w14:paraId="216EA973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r>
        <w:rPr>
          <w:rFonts w:ascii="Nimbus Roman" w:hAnsi="Nimbus Roman" w:cs="Nimbus Roman"/>
          <w:sz w:val="24"/>
          <w:szCs w:val="24"/>
        </w:rPr>
        <w:t>Φα</w:t>
      </w:r>
      <w:proofErr w:type="spellStart"/>
      <w:r>
        <w:rPr>
          <w:rFonts w:ascii="Nimbus Roman" w:hAnsi="Nimbus Roman" w:cs="Nimbus Roman"/>
          <w:sz w:val="24"/>
          <w:szCs w:val="24"/>
        </w:rPr>
        <w:t>ίνεσθ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αι και </w:t>
      </w:r>
      <w:r>
        <w:rPr>
          <w:rFonts w:ascii="Nimbus Roman" w:hAnsi="Nimbus Roman" w:cs="Nimbus Roman"/>
          <w:sz w:val="24"/>
          <w:szCs w:val="24"/>
          <w:lang w:val="el-GR"/>
        </w:rPr>
        <w:t>παιχνίδι</w:t>
      </w:r>
    </w:p>
    <w:p w14:paraId="2D67649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Τέχνη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και </w:t>
      </w:r>
      <w:proofErr w:type="spellStart"/>
      <w:r>
        <w:rPr>
          <w:rFonts w:ascii="Nimbus Roman" w:hAnsi="Nimbus Roman" w:cs="Nimbus Roman"/>
          <w:sz w:val="24"/>
          <w:szCs w:val="24"/>
        </w:rPr>
        <w:t>τεχνική</w:t>
      </w:r>
      <w:proofErr w:type="spellEnd"/>
    </w:p>
    <w:p w14:paraId="728AB71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Αισθητικοποίηση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της πολιτικής και του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βιόκοσμου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</w:p>
    <w:p w14:paraId="4E9EDD13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Τέχνη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και μα</w:t>
      </w:r>
      <w:proofErr w:type="spellStart"/>
      <w:r>
        <w:rPr>
          <w:rFonts w:ascii="Nimbus Roman" w:hAnsi="Nimbus Roman" w:cs="Nimbus Roman"/>
          <w:sz w:val="24"/>
          <w:szCs w:val="24"/>
        </w:rPr>
        <w:t>ζική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κουλτούρ</w:t>
      </w:r>
      <w:proofErr w:type="spellEnd"/>
      <w:r>
        <w:rPr>
          <w:rFonts w:ascii="Nimbus Roman" w:hAnsi="Nimbus Roman" w:cs="Nimbus Roman"/>
          <w:sz w:val="24"/>
          <w:szCs w:val="24"/>
        </w:rPr>
        <w:t>α</w:t>
      </w:r>
    </w:p>
    <w:p w14:paraId="3F93F526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Μετ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ασχηματισμοί </w:t>
      </w:r>
      <w:proofErr w:type="spellStart"/>
      <w:r>
        <w:rPr>
          <w:rFonts w:ascii="Nimbus Roman" w:hAnsi="Nimbus Roman" w:cs="Nimbus Roman"/>
          <w:sz w:val="24"/>
          <w:szCs w:val="24"/>
        </w:rPr>
        <w:t>της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α</w:t>
      </w:r>
      <w:proofErr w:type="spellStart"/>
      <w:r>
        <w:rPr>
          <w:rFonts w:ascii="Nimbus Roman" w:hAnsi="Nimbus Roman" w:cs="Nimbus Roman"/>
          <w:sz w:val="24"/>
          <w:szCs w:val="24"/>
        </w:rPr>
        <w:t>ισθητικής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α</w:t>
      </w:r>
      <w:proofErr w:type="spellStart"/>
      <w:r>
        <w:rPr>
          <w:rFonts w:ascii="Nimbus Roman" w:hAnsi="Nimbus Roman" w:cs="Nimbus Roman"/>
          <w:sz w:val="24"/>
          <w:szCs w:val="24"/>
        </w:rPr>
        <w:t>υτονομί</w:t>
      </w:r>
      <w:proofErr w:type="spellEnd"/>
      <w:r>
        <w:rPr>
          <w:rFonts w:ascii="Nimbus Roman" w:hAnsi="Nimbus Roman" w:cs="Nimbus Roman"/>
          <w:sz w:val="24"/>
          <w:szCs w:val="24"/>
        </w:rPr>
        <w:t>ας</w:t>
      </w:r>
    </w:p>
    <w:p w14:paraId="2A308514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Εκδοχές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του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τέλους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τέχνης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</w:p>
    <w:p w14:paraId="226E14AD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Αισθητική και τέχνη στο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μεταποικιακό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πλαίσιο</w:t>
      </w:r>
    </w:p>
    <w:p w14:paraId="741C047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Μετανεωτερικές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καλλιτεχνικές πρακτικές και θεωρία της τέχνης</w:t>
      </w:r>
    </w:p>
    <w:p w14:paraId="71E43E57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5C388C36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0067D028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sectPr w:rsidR="00AE1F21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D447" w14:textId="77777777" w:rsidR="006F6B84" w:rsidRDefault="006F6B84">
      <w:pPr>
        <w:spacing w:after="0" w:line="240" w:lineRule="auto"/>
      </w:pPr>
      <w:r>
        <w:separator/>
      </w:r>
    </w:p>
  </w:endnote>
  <w:endnote w:type="continuationSeparator" w:id="0">
    <w:p w14:paraId="2B7E8AE7" w14:textId="77777777" w:rsidR="006F6B84" w:rsidRDefault="006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Gubbi"/>
    <w:charset w:val="00"/>
    <w:family w:val="auto"/>
    <w:pitch w:val="default"/>
  </w:font>
  <w:font w:name="Nimbus Roman">
    <w:altName w:val="Calibri"/>
    <w:charset w:val="00"/>
    <w:family w:val="auto"/>
    <w:pitch w:val="default"/>
    <w:sig w:usb0="00000287" w:usb1="00000800" w:usb2="00000000" w:usb3="00000000" w:csb0="6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552A" w14:textId="77777777" w:rsidR="006F6B84" w:rsidRDefault="006F6B84">
      <w:pPr>
        <w:spacing w:after="0" w:line="240" w:lineRule="auto"/>
      </w:pPr>
      <w:r>
        <w:separator/>
      </w:r>
    </w:p>
  </w:footnote>
  <w:footnote w:type="continuationSeparator" w:id="0">
    <w:p w14:paraId="171D31C5" w14:textId="77777777" w:rsidR="006F6B84" w:rsidRDefault="006F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18C4" w14:textId="77777777" w:rsidR="00AE1F21" w:rsidRDefault="00AE1F21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BE41AB"/>
    <w:multiLevelType w:val="singleLevel"/>
    <w:tmpl w:val="F7BE41A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1595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B778735"/>
    <w:rsid w:val="83D94C5A"/>
    <w:rsid w:val="BE7FC769"/>
    <w:rsid w:val="CC9F5661"/>
    <w:rsid w:val="D7DB872B"/>
    <w:rsid w:val="E777E7B1"/>
    <w:rsid w:val="EB778735"/>
    <w:rsid w:val="EBFF3E79"/>
    <w:rsid w:val="EE6F3B55"/>
    <w:rsid w:val="F2DFA1FC"/>
    <w:rsid w:val="F59BD690"/>
    <w:rsid w:val="F72EF294"/>
    <w:rsid w:val="FAAF110F"/>
    <w:rsid w:val="FCDFA7C6"/>
    <w:rsid w:val="FFFFE8DD"/>
    <w:rsid w:val="0005194F"/>
    <w:rsid w:val="00565D49"/>
    <w:rsid w:val="006F6B84"/>
    <w:rsid w:val="008A0FF3"/>
    <w:rsid w:val="00934D1F"/>
    <w:rsid w:val="00987ADD"/>
    <w:rsid w:val="00AE1F21"/>
    <w:rsid w:val="00AF7098"/>
    <w:rsid w:val="00C04513"/>
    <w:rsid w:val="00F95D5A"/>
    <w:rsid w:val="372D955D"/>
    <w:rsid w:val="47EF8102"/>
    <w:rsid w:val="53EF89CD"/>
    <w:rsid w:val="587DC24E"/>
    <w:rsid w:val="657E824F"/>
    <w:rsid w:val="672F90DA"/>
    <w:rsid w:val="735F192F"/>
    <w:rsid w:val="77FBC4F8"/>
    <w:rsid w:val="7DCF358E"/>
    <w:rsid w:val="7F7DEE26"/>
    <w:rsid w:val="7F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8E7A"/>
  <w15:docId w15:val="{58B42E13-8442-4E60-A298-073988C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qFormat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qFormat/>
    <w:rPr>
      <w:b/>
      <w:bCs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western">
    <w:name w:val="western"/>
    <w:qFormat/>
    <w:pPr>
      <w:spacing w:line="259" w:lineRule="auto"/>
    </w:pPr>
    <w:rPr>
      <w:rFonts w:ascii="serif" w:hAnsi="serif"/>
      <w:lang w:val="en-US" w:eastAsia="zh-CN"/>
    </w:rPr>
  </w:style>
  <w:style w:type="paragraph" w:customStyle="1" w:styleId="berarbeitung1">
    <w:name w:val="Überarbeitung1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KommentarthemaZchn">
    <w:name w:val="Kommentarthema Zchn"/>
    <w:basedOn w:val="KommentartextZchn"/>
    <w:link w:val="Kommentarthema"/>
    <w:qFormat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costzanaki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nicos</dc:creator>
  <cp:lastModifiedBy>georgios sagriotis</cp:lastModifiedBy>
  <cp:revision>2</cp:revision>
  <dcterms:created xsi:type="dcterms:W3CDTF">2024-12-21T11:28:00Z</dcterms:created>
  <dcterms:modified xsi:type="dcterms:W3CDTF">2024-12-21T11:28:00Z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1031-10.1.0.6757</vt:lpwstr>
  </property>
</Properties>
</file>